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1836A">
      <w:pPr>
        <w:wordWrap w:val="0"/>
        <w:spacing w:line="560" w:lineRule="exact"/>
        <w:rPr>
          <w:rFonts w:ascii="黑体" w:hAnsi="黑体" w:eastAsia="黑体" w:cs="仿宋"/>
          <w:color w:val="000000" w:themeColor="text1"/>
          <w:kern w:val="10"/>
          <w:sz w:val="32"/>
          <w:szCs w:val="32"/>
        </w:rPr>
      </w:pPr>
      <w:r>
        <w:rPr>
          <w:rFonts w:hint="eastAsia" w:ascii="黑体" w:hAnsi="黑体" w:eastAsia="黑体" w:cs="仿宋"/>
          <w:color w:val="000000" w:themeColor="text1"/>
          <w:kern w:val="10"/>
          <w:sz w:val="32"/>
          <w:szCs w:val="32"/>
        </w:rPr>
        <w:t>附件1-1</w:t>
      </w:r>
    </w:p>
    <w:p w14:paraId="2BC69B29">
      <w:pPr>
        <w:wordWrap w:val="0"/>
        <w:spacing w:line="440" w:lineRule="exact"/>
        <w:rPr>
          <w:rFonts w:ascii="黑体" w:hAnsi="黑体" w:eastAsia="黑体" w:cs="仿宋"/>
          <w:color w:val="000000" w:themeColor="text1"/>
          <w:kern w:val="10"/>
          <w:sz w:val="32"/>
          <w:szCs w:val="32"/>
        </w:rPr>
      </w:pPr>
    </w:p>
    <w:p w14:paraId="1FCDE6EB">
      <w:pPr>
        <w:wordWrap w:val="0"/>
        <w:spacing w:line="600" w:lineRule="exact"/>
        <w:jc w:val="center"/>
        <w:rPr>
          <w:rFonts w:ascii="方正小标宋简体" w:hAnsi="方正小标宋_GBK" w:eastAsia="方正小标宋简体" w:cs="方正小标宋_GBK"/>
          <w:color w:val="000000" w:themeColor="text1"/>
          <w:sz w:val="44"/>
          <w:szCs w:val="44"/>
        </w:rPr>
      </w:pPr>
      <w:bookmarkStart w:id="0" w:name="_GoBack"/>
      <w:r>
        <w:rPr>
          <w:rFonts w:hint="eastAsia" w:ascii="方正小标宋简体" w:hAnsi="方正小标宋_GBK" w:eastAsia="方正小标宋简体" w:cs="方正小标宋_GBK"/>
          <w:color w:val="000000" w:themeColor="text1"/>
          <w:sz w:val="44"/>
          <w:szCs w:val="44"/>
        </w:rPr>
        <w:t>2024年度“中国流动科技馆湖南巡展项目”</w:t>
      </w:r>
      <w:bookmarkEnd w:id="0"/>
    </w:p>
    <w:p w14:paraId="3630F602">
      <w:pPr>
        <w:wordWrap w:val="0"/>
        <w:spacing w:line="600" w:lineRule="exact"/>
        <w:jc w:val="center"/>
        <w:rPr>
          <w:rFonts w:ascii="方正小标宋简体" w:hAnsi="方正小标宋_GBK" w:eastAsia="方正小标宋简体" w:cs="方正小标宋_GBK"/>
          <w:color w:val="000000" w:themeColor="text1"/>
          <w:sz w:val="44"/>
          <w:szCs w:val="44"/>
        </w:rPr>
      </w:pPr>
      <w:r>
        <w:rPr>
          <w:rFonts w:hint="eastAsia" w:ascii="方正小标宋简体" w:hAnsi="方正小标宋_GBK" w:eastAsia="方正小标宋简体" w:cs="方正小标宋_GBK"/>
          <w:color w:val="000000" w:themeColor="text1"/>
          <w:sz w:val="44"/>
          <w:szCs w:val="44"/>
        </w:rPr>
        <w:t>绩效评价评审方案</w:t>
      </w:r>
    </w:p>
    <w:p w14:paraId="33F787F2">
      <w:pPr>
        <w:wordWrap w:val="0"/>
        <w:spacing w:line="580" w:lineRule="exact"/>
        <w:ind w:firstLine="640" w:firstLineChars="200"/>
        <w:rPr>
          <w:rFonts w:ascii="仿宋_GB2312" w:hAnsi="仿宋" w:eastAsia="仿宋_GB2312"/>
          <w:color w:val="000000" w:themeColor="text1"/>
          <w:kern w:val="0"/>
          <w:sz w:val="32"/>
          <w:szCs w:val="32"/>
        </w:rPr>
      </w:pPr>
    </w:p>
    <w:p w14:paraId="505FFC59">
      <w:pPr>
        <w:wordWrap w:val="0"/>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 w:eastAsia="仿宋_GB2312"/>
          <w:color w:val="000000" w:themeColor="text1"/>
          <w:kern w:val="0"/>
          <w:sz w:val="32"/>
          <w:szCs w:val="32"/>
        </w:rPr>
        <w:t>根据中国科协办公厅关于印发《中国流动科技馆项目考核管理暂行办法》的通知（科协办函普字〔2022〕127号）</w:t>
      </w:r>
      <w:r>
        <w:rPr>
          <w:rFonts w:hint="eastAsia" w:ascii="仿宋_GB2312" w:hAnsi="仿宋" w:eastAsia="仿宋_GB2312" w:cs="宋体"/>
          <w:color w:val="000000" w:themeColor="text1"/>
          <w:kern w:val="0"/>
          <w:sz w:val="32"/>
          <w:szCs w:val="32"/>
        </w:rPr>
        <w:t>要求，省科协将对2024年度“中国流动科技馆湖南巡展项目”进行绩效评价评审，</w:t>
      </w:r>
      <w:r>
        <w:rPr>
          <w:rFonts w:hint="eastAsia" w:ascii="仿宋_GB2312" w:hAnsi="仿宋_GB2312" w:eastAsia="仿宋_GB2312" w:cs="仿宋_GB2312"/>
          <w:color w:val="000000" w:themeColor="text1"/>
          <w:kern w:val="0"/>
          <w:sz w:val="32"/>
          <w:szCs w:val="32"/>
        </w:rPr>
        <w:t>现制定评审方案如下：</w:t>
      </w:r>
    </w:p>
    <w:p w14:paraId="760D5A12">
      <w:pPr>
        <w:wordWrap w:val="0"/>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一、评审对象</w:t>
      </w:r>
    </w:p>
    <w:p w14:paraId="738A9214">
      <w:pPr>
        <w:wordWrap w:val="0"/>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2024年度中国流动科技馆湖南巡展项目站点19个，分别是：鼎城区站、临澧县站、蒸湘区站、会同县站、中方县站、通道县站、隆回县站、岳塘区站、韶山市站、吉首市站、古丈县站、保靖县站、沅江市站、南县站、祁阳市站、新田县站、醴陵市站、天元区站、华容县站。</w:t>
      </w:r>
    </w:p>
    <w:p w14:paraId="0FCD6B91">
      <w:pPr>
        <w:wordWrap w:val="0"/>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二、评审程序</w:t>
      </w:r>
    </w:p>
    <w:p w14:paraId="4518B6FA">
      <w:pPr>
        <w:wordWrap w:val="0"/>
        <w:spacing w:line="560" w:lineRule="exact"/>
        <w:ind w:firstLine="640" w:firstLineChars="200"/>
        <w:rPr>
          <w:rFonts w:ascii="楷体_GB2312" w:hAnsi="楷体" w:eastAsia="楷体_GB2312" w:cs="楷体"/>
          <w:color w:val="000000" w:themeColor="text1"/>
          <w:kern w:val="0"/>
          <w:sz w:val="32"/>
          <w:szCs w:val="32"/>
        </w:rPr>
      </w:pPr>
      <w:r>
        <w:rPr>
          <w:rFonts w:hint="eastAsia" w:ascii="楷体_GB2312" w:hAnsi="楷体" w:eastAsia="楷体_GB2312" w:cs="楷体"/>
          <w:color w:val="000000" w:themeColor="text1"/>
          <w:kern w:val="0"/>
          <w:sz w:val="32"/>
          <w:szCs w:val="32"/>
        </w:rPr>
        <w:t>（一）资格初审</w:t>
      </w:r>
    </w:p>
    <w:p w14:paraId="0E17594F">
      <w:pPr>
        <w:wordWrap w:val="0"/>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省科技馆流动科技馆部按照</w:t>
      </w:r>
      <w:r>
        <w:rPr>
          <w:rFonts w:hint="eastAsia" w:ascii="仿宋_GB2312" w:hAnsi="仿宋" w:eastAsia="仿宋_GB2312"/>
          <w:color w:val="000000" w:themeColor="text1"/>
          <w:kern w:val="0"/>
          <w:sz w:val="32"/>
          <w:szCs w:val="32"/>
        </w:rPr>
        <w:t>《中国流动科技馆项目考核管理暂行办法》的</w:t>
      </w:r>
      <w:r>
        <w:rPr>
          <w:rFonts w:hint="eastAsia" w:ascii="仿宋_GB2312" w:hAnsi="仿宋_GB2312" w:eastAsia="仿宋_GB2312" w:cs="仿宋_GB2312"/>
          <w:color w:val="000000" w:themeColor="text1"/>
          <w:kern w:val="0"/>
          <w:sz w:val="32"/>
          <w:szCs w:val="32"/>
        </w:rPr>
        <w:t>要求,对评审对象上报的材料进行资格审查，对符合要求的材料交评审专家进行打分评审，对不符合要求的材料交专家会议评议后，取消其评审资格。</w:t>
      </w:r>
    </w:p>
    <w:p w14:paraId="771B0BC3">
      <w:pPr>
        <w:wordWrap w:val="0"/>
        <w:spacing w:line="560" w:lineRule="exact"/>
        <w:ind w:firstLine="640" w:firstLineChars="200"/>
        <w:rPr>
          <w:rFonts w:ascii="楷体_GB2312" w:hAnsi="楷体" w:eastAsia="楷体_GB2312" w:cs="楷体"/>
          <w:color w:val="000000" w:themeColor="text1"/>
          <w:kern w:val="0"/>
          <w:sz w:val="32"/>
          <w:szCs w:val="32"/>
        </w:rPr>
      </w:pPr>
      <w:r>
        <w:rPr>
          <w:rFonts w:hint="eastAsia" w:ascii="楷体_GB2312" w:hAnsi="楷体" w:eastAsia="楷体_GB2312" w:cs="楷体"/>
          <w:color w:val="000000" w:themeColor="text1"/>
          <w:kern w:val="0"/>
          <w:sz w:val="32"/>
          <w:szCs w:val="32"/>
        </w:rPr>
        <w:t>（二）专家评审</w:t>
      </w:r>
    </w:p>
    <w:p w14:paraId="03BB007F">
      <w:pPr>
        <w:wordWrap w:val="0"/>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由专家根据申报材料,对照评分标准进行打分评比,专家将每个项目每项得分填入绩效评分表并签署姓名。每个站点的最终得分以参评专家平均分计取。</w:t>
      </w:r>
    </w:p>
    <w:p w14:paraId="69D7ECE7">
      <w:pPr>
        <w:wordWrap w:val="0"/>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三、评审专家</w:t>
      </w:r>
    </w:p>
    <w:p w14:paraId="24923012">
      <w:pPr>
        <w:wordWrap w:val="0"/>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根据《省科协项目评审监督实施办法(试行)》要求,在省科协机关纪委监委和省科技馆纪委的监督下,从省科协科普专家库中随机抽取评审专家5名。</w:t>
      </w:r>
    </w:p>
    <w:p w14:paraId="1C8CDC46">
      <w:pPr>
        <w:wordWrap w:val="0"/>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四、评审办法</w:t>
      </w:r>
    </w:p>
    <w:p w14:paraId="6DDF8CF3">
      <w:pPr>
        <w:wordWrap w:val="0"/>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根据</w:t>
      </w:r>
      <w:r>
        <w:rPr>
          <w:rFonts w:hint="eastAsia" w:ascii="仿宋_GB2312" w:hAnsi="仿宋" w:eastAsia="仿宋_GB2312"/>
          <w:color w:val="000000" w:themeColor="text1"/>
          <w:kern w:val="0"/>
          <w:sz w:val="32"/>
          <w:szCs w:val="32"/>
        </w:rPr>
        <w:t>《中国流动科技馆项目考核管理暂行办法》的</w:t>
      </w:r>
      <w:r>
        <w:rPr>
          <w:rFonts w:hint="eastAsia" w:ascii="仿宋_GB2312" w:hAnsi="仿宋_GB2312" w:eastAsia="仿宋_GB2312" w:cs="仿宋_GB2312"/>
          <w:color w:val="000000" w:themeColor="text1"/>
          <w:kern w:val="0"/>
          <w:sz w:val="32"/>
          <w:szCs w:val="32"/>
        </w:rPr>
        <w:t>要求，评分主要从基础保障组织实施、运行效果、创新亮点4个方面进行评审,具体标准见评分细则。</w:t>
      </w:r>
    </w:p>
    <w:p w14:paraId="0CEEE83C">
      <w:pPr>
        <w:wordWrap w:val="0"/>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五、评审结果</w:t>
      </w:r>
    </w:p>
    <w:p w14:paraId="75DDFB0F">
      <w:pPr>
        <w:wordWrap w:val="0"/>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省科协会同省财政厅进行评价评审,评审结果按有关要求进行公示,公示无异后发布立项名单。</w:t>
      </w:r>
    </w:p>
    <w:p w14:paraId="7A18D774">
      <w:pPr>
        <w:wordWrap w:val="0"/>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六、资金安排</w:t>
      </w:r>
    </w:p>
    <w:p w14:paraId="4FF32B5A">
      <w:pPr>
        <w:wordWrap w:val="0"/>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评审结果分优秀、良好、合格三个等次。安排优秀等次4名,良好等次11名,合格等次4名。优秀等次站点补助5万元,良好等次站点补助4万元,合格等次站点补助3万元。共计专项资金76万元。</w:t>
      </w:r>
    </w:p>
    <w:p w14:paraId="3BEAD741">
      <w:pPr>
        <w:wordWrap w:val="0"/>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七、联系方式</w:t>
      </w:r>
    </w:p>
    <w:p w14:paraId="4AEDE741">
      <w:pPr>
        <w:wordWrap w:val="0"/>
        <w:spacing w:line="560" w:lineRule="exact"/>
        <w:ind w:left="1918" w:leftChars="304" w:hanging="1280" w:hangingChars="4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联系人：肖鹏 0731-84884352</w:t>
      </w:r>
    </w:p>
    <w:p w14:paraId="4D1AFC09">
      <w:pPr>
        <w:wordWrap w:val="0"/>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八、评分细则</w:t>
      </w:r>
    </w:p>
    <w:p w14:paraId="6EB74AEC">
      <w:pPr>
        <w:pStyle w:val="2"/>
        <w:wordWrap w:val="0"/>
        <w:ind w:firstLine="640" w:firstLineChars="200"/>
        <w:rPr>
          <w:color w:val="000000" w:themeColor="text1"/>
        </w:rPr>
      </w:pPr>
      <w:r>
        <w:rPr>
          <w:rFonts w:hint="eastAsia"/>
          <w:color w:val="000000" w:themeColor="text1"/>
        </w:rPr>
        <w:t>（详见下页）</w:t>
      </w:r>
    </w:p>
    <w:p w14:paraId="42DBB879">
      <w:pPr>
        <w:wordWrap w:val="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br w:type="page"/>
      </w:r>
    </w:p>
    <w:p w14:paraId="44C18BE0">
      <w:pPr>
        <w:wordWrap w:val="0"/>
        <w:jc w:val="center"/>
        <w:rPr>
          <w:rFonts w:ascii="方正小标宋简体" w:hAnsi="宋体" w:eastAsia="方正小标宋简体"/>
          <w:color w:val="000000" w:themeColor="text1"/>
          <w:sz w:val="36"/>
          <w:szCs w:val="36"/>
        </w:rPr>
      </w:pPr>
      <w:r>
        <w:rPr>
          <w:rFonts w:hint="eastAsia" w:ascii="方正小标宋简体" w:hAnsi="宋体" w:eastAsia="方正小标宋简体"/>
          <w:color w:val="000000" w:themeColor="text1"/>
          <w:sz w:val="36"/>
          <w:szCs w:val="36"/>
        </w:rPr>
        <w:t>中国流动科技馆湖南巡展项目绩效评价评分细则</w:t>
      </w:r>
    </w:p>
    <w:p w14:paraId="1AB0A558">
      <w:pPr>
        <w:wordWrap w:val="0"/>
        <w:jc w:val="center"/>
        <w:rPr>
          <w:rFonts w:ascii="仿宋_GB2312" w:hAnsi="仿宋_GB2312" w:eastAsia="仿宋_GB2312" w:cs="仿宋_GB2312"/>
          <w:color w:val="000000" w:themeColor="text1"/>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146"/>
        <w:gridCol w:w="6828"/>
      </w:tblGrid>
      <w:tr w14:paraId="283D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00" w:type="dxa"/>
            <w:noWrap/>
            <w:vAlign w:val="center"/>
          </w:tcPr>
          <w:p w14:paraId="11F17E8A">
            <w:pPr>
              <w:wordWrap w:val="0"/>
              <w:spacing w:line="360" w:lineRule="exact"/>
              <w:jc w:val="center"/>
              <w:rPr>
                <w:b/>
                <w:color w:val="000000" w:themeColor="text1"/>
                <w:sz w:val="24"/>
              </w:rPr>
            </w:pPr>
            <w:r>
              <w:rPr>
                <w:rFonts w:hint="eastAsia"/>
                <w:b/>
                <w:color w:val="000000" w:themeColor="text1"/>
                <w:sz w:val="24"/>
              </w:rPr>
              <w:t>评价</w:t>
            </w:r>
          </w:p>
          <w:p w14:paraId="1017AD9F">
            <w:pPr>
              <w:wordWrap w:val="0"/>
              <w:spacing w:line="360" w:lineRule="exact"/>
              <w:jc w:val="center"/>
              <w:rPr>
                <w:b/>
                <w:color w:val="000000" w:themeColor="text1"/>
                <w:sz w:val="24"/>
              </w:rPr>
            </w:pPr>
            <w:r>
              <w:rPr>
                <w:rFonts w:hint="eastAsia"/>
                <w:b/>
                <w:color w:val="000000" w:themeColor="text1"/>
                <w:sz w:val="24"/>
              </w:rPr>
              <w:t>项目</w:t>
            </w:r>
          </w:p>
        </w:tc>
        <w:tc>
          <w:tcPr>
            <w:tcW w:w="1146" w:type="dxa"/>
            <w:noWrap/>
            <w:vAlign w:val="center"/>
          </w:tcPr>
          <w:p w14:paraId="3030782F">
            <w:pPr>
              <w:wordWrap w:val="0"/>
              <w:spacing w:line="360" w:lineRule="exact"/>
              <w:jc w:val="center"/>
              <w:rPr>
                <w:b/>
                <w:color w:val="000000" w:themeColor="text1"/>
                <w:sz w:val="24"/>
              </w:rPr>
            </w:pPr>
            <w:r>
              <w:rPr>
                <w:rFonts w:hint="eastAsia"/>
                <w:b/>
                <w:color w:val="000000" w:themeColor="text1"/>
                <w:sz w:val="24"/>
              </w:rPr>
              <w:t>评价</w:t>
            </w:r>
          </w:p>
          <w:p w14:paraId="56F2DD09">
            <w:pPr>
              <w:wordWrap w:val="0"/>
              <w:spacing w:line="360" w:lineRule="exact"/>
              <w:jc w:val="center"/>
              <w:rPr>
                <w:b/>
                <w:color w:val="000000" w:themeColor="text1"/>
                <w:sz w:val="24"/>
              </w:rPr>
            </w:pPr>
            <w:r>
              <w:rPr>
                <w:rFonts w:hint="eastAsia"/>
                <w:b/>
                <w:color w:val="000000" w:themeColor="text1"/>
                <w:sz w:val="24"/>
              </w:rPr>
              <w:t>指标</w:t>
            </w:r>
          </w:p>
        </w:tc>
        <w:tc>
          <w:tcPr>
            <w:tcW w:w="6828" w:type="dxa"/>
            <w:noWrap/>
            <w:vAlign w:val="center"/>
          </w:tcPr>
          <w:p w14:paraId="4720700F">
            <w:pPr>
              <w:wordWrap w:val="0"/>
              <w:spacing w:line="360" w:lineRule="exact"/>
              <w:jc w:val="center"/>
              <w:rPr>
                <w:b/>
                <w:color w:val="000000" w:themeColor="text1"/>
                <w:sz w:val="24"/>
              </w:rPr>
            </w:pPr>
            <w:r>
              <w:rPr>
                <w:rFonts w:hint="eastAsia"/>
                <w:b/>
                <w:color w:val="000000" w:themeColor="text1"/>
                <w:sz w:val="24"/>
              </w:rPr>
              <w:t>评价要求</w:t>
            </w:r>
          </w:p>
        </w:tc>
      </w:tr>
      <w:tr w14:paraId="32F4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Merge w:val="restart"/>
            <w:noWrap/>
            <w:vAlign w:val="center"/>
          </w:tcPr>
          <w:p w14:paraId="5D63C2CA">
            <w:pPr>
              <w:wordWrap w:val="0"/>
              <w:spacing w:line="360" w:lineRule="exact"/>
              <w:jc w:val="center"/>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基础保障</w:t>
            </w:r>
          </w:p>
          <w:p w14:paraId="1DCF58AF">
            <w:pPr>
              <w:wordWrap w:val="0"/>
              <w:spacing w:line="360" w:lineRule="exact"/>
              <w:jc w:val="center"/>
              <w:rPr>
                <w:rFonts w:ascii="仿宋_GB2312" w:hAnsi="仿宋_GB2312" w:eastAsia="仿宋_GB2312" w:cs="仿宋_GB2312"/>
                <w:color w:val="000000" w:themeColor="text1"/>
                <w:sz w:val="22"/>
                <w:szCs w:val="22"/>
              </w:rPr>
            </w:pPr>
          </w:p>
        </w:tc>
        <w:tc>
          <w:tcPr>
            <w:tcW w:w="1146" w:type="dxa"/>
            <w:vMerge w:val="restart"/>
            <w:noWrap/>
            <w:vAlign w:val="center"/>
          </w:tcPr>
          <w:p w14:paraId="51247518">
            <w:pPr>
              <w:wordWrap w:val="0"/>
              <w:spacing w:line="360" w:lineRule="exact"/>
              <w:jc w:val="center"/>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人才队伍</w:t>
            </w:r>
          </w:p>
        </w:tc>
        <w:tc>
          <w:tcPr>
            <w:tcW w:w="6828" w:type="dxa"/>
            <w:noWrap/>
            <w:vAlign w:val="center"/>
          </w:tcPr>
          <w:p w14:paraId="55DDD9EB">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所辖区县工作机构健全，</w:t>
            </w:r>
            <w:r>
              <w:rPr>
                <w:rFonts w:hint="eastAsia" w:ascii="仿宋_GB2312" w:hAnsi="仿宋_GB2312" w:eastAsia="仿宋_GB2312" w:cs="仿宋_GB2312"/>
                <w:color w:val="000000" w:themeColor="text1"/>
                <w:kern w:val="0"/>
                <w:sz w:val="22"/>
                <w:szCs w:val="22"/>
              </w:rPr>
              <w:t xml:space="preserve">组建专职的流动馆项目团队，成员固定、结构合理、分工明确。 </w:t>
            </w:r>
          </w:p>
        </w:tc>
      </w:tr>
      <w:tr w14:paraId="3088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Merge w:val="continue"/>
            <w:noWrap/>
            <w:vAlign w:val="center"/>
          </w:tcPr>
          <w:p w14:paraId="204B0ACF">
            <w:pPr>
              <w:wordWrap w:val="0"/>
              <w:spacing w:line="360" w:lineRule="exact"/>
              <w:jc w:val="center"/>
              <w:rPr>
                <w:rFonts w:ascii="仿宋_GB2312" w:hAnsi="仿宋_GB2312" w:eastAsia="仿宋_GB2312" w:cs="仿宋_GB2312"/>
                <w:color w:val="000000" w:themeColor="text1"/>
                <w:sz w:val="22"/>
                <w:szCs w:val="22"/>
              </w:rPr>
            </w:pPr>
          </w:p>
        </w:tc>
        <w:tc>
          <w:tcPr>
            <w:tcW w:w="1146" w:type="dxa"/>
            <w:vMerge w:val="continue"/>
            <w:noWrap/>
            <w:vAlign w:val="center"/>
          </w:tcPr>
          <w:p w14:paraId="359A7187">
            <w:pPr>
              <w:wordWrap w:val="0"/>
              <w:spacing w:line="360" w:lineRule="exact"/>
              <w:jc w:val="center"/>
              <w:rPr>
                <w:rFonts w:ascii="仿宋_GB2312" w:hAnsi="仿宋_GB2312" w:eastAsia="仿宋_GB2312" w:cs="仿宋_GB2312"/>
                <w:color w:val="000000" w:themeColor="text1"/>
                <w:sz w:val="22"/>
                <w:szCs w:val="22"/>
              </w:rPr>
            </w:pPr>
          </w:p>
        </w:tc>
        <w:tc>
          <w:tcPr>
            <w:tcW w:w="6828" w:type="dxa"/>
            <w:noWrap/>
            <w:vAlign w:val="center"/>
          </w:tcPr>
          <w:p w14:paraId="56DF83C5">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kern w:val="0"/>
                <w:sz w:val="22"/>
                <w:szCs w:val="22"/>
              </w:rPr>
              <w:t>每个巡展站点招募数量充足的科技志愿者，定期组织志愿者培训，开展展品维护、辅导讲解等志愿服务，志愿者数量不少于2名，累计服务时长不少于60天。</w:t>
            </w:r>
          </w:p>
        </w:tc>
      </w:tr>
      <w:tr w14:paraId="20DC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Merge w:val="continue"/>
            <w:noWrap/>
            <w:vAlign w:val="center"/>
          </w:tcPr>
          <w:p w14:paraId="37184515">
            <w:pPr>
              <w:wordWrap w:val="0"/>
              <w:spacing w:line="360" w:lineRule="exact"/>
              <w:jc w:val="center"/>
              <w:rPr>
                <w:rFonts w:ascii="仿宋_GB2312" w:hAnsi="仿宋_GB2312" w:eastAsia="仿宋_GB2312" w:cs="仿宋_GB2312"/>
                <w:color w:val="000000" w:themeColor="text1"/>
                <w:sz w:val="22"/>
                <w:szCs w:val="22"/>
              </w:rPr>
            </w:pPr>
          </w:p>
        </w:tc>
        <w:tc>
          <w:tcPr>
            <w:tcW w:w="1146" w:type="dxa"/>
            <w:noWrap/>
            <w:vAlign w:val="center"/>
          </w:tcPr>
          <w:p w14:paraId="2770794B">
            <w:pPr>
              <w:wordWrap w:val="0"/>
              <w:spacing w:line="360" w:lineRule="exact"/>
              <w:jc w:val="center"/>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项目经费</w:t>
            </w:r>
          </w:p>
        </w:tc>
        <w:tc>
          <w:tcPr>
            <w:tcW w:w="6828" w:type="dxa"/>
            <w:noWrap/>
            <w:vAlign w:val="center"/>
          </w:tcPr>
          <w:p w14:paraId="72F1E038">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kern w:val="0"/>
                <w:sz w:val="22"/>
                <w:szCs w:val="22"/>
              </w:rPr>
              <w:t>本级财政、市级财政等多渠道筹措并配套项目运行经费，保障项目顺利实施，平均每站项目运行经费不少于5万元。</w:t>
            </w:r>
          </w:p>
        </w:tc>
      </w:tr>
      <w:tr w14:paraId="3840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0" w:type="dxa"/>
            <w:vMerge w:val="continue"/>
            <w:noWrap/>
            <w:vAlign w:val="center"/>
          </w:tcPr>
          <w:p w14:paraId="4EECA977">
            <w:pPr>
              <w:wordWrap w:val="0"/>
              <w:spacing w:line="360" w:lineRule="exact"/>
              <w:jc w:val="center"/>
              <w:rPr>
                <w:rFonts w:ascii="仿宋_GB2312" w:hAnsi="仿宋_GB2312" w:eastAsia="仿宋_GB2312" w:cs="仿宋_GB2312"/>
                <w:color w:val="000000" w:themeColor="text1"/>
                <w:sz w:val="22"/>
                <w:szCs w:val="22"/>
              </w:rPr>
            </w:pPr>
          </w:p>
        </w:tc>
        <w:tc>
          <w:tcPr>
            <w:tcW w:w="1146" w:type="dxa"/>
            <w:noWrap/>
            <w:vAlign w:val="center"/>
          </w:tcPr>
          <w:p w14:paraId="55EF6765">
            <w:pPr>
              <w:wordWrap w:val="0"/>
              <w:spacing w:line="360" w:lineRule="exact"/>
              <w:jc w:val="center"/>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制度建设</w:t>
            </w:r>
          </w:p>
        </w:tc>
        <w:tc>
          <w:tcPr>
            <w:tcW w:w="6828" w:type="dxa"/>
            <w:noWrap/>
            <w:vAlign w:val="center"/>
          </w:tcPr>
          <w:p w14:paraId="65DA7717">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kern w:val="0"/>
                <w:sz w:val="22"/>
                <w:szCs w:val="22"/>
              </w:rPr>
              <w:t>编制科学、合理、有效的项目管理制度，如项目管理办法、经费管理制度、志愿者培训制度，对项目实施的各环节进行规范。项目制度健全、内容详实、标准明确、切实可行。</w:t>
            </w:r>
          </w:p>
        </w:tc>
      </w:tr>
      <w:tr w14:paraId="59D0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Merge w:val="continue"/>
            <w:noWrap/>
            <w:vAlign w:val="center"/>
          </w:tcPr>
          <w:p w14:paraId="7CEBEC0A">
            <w:pPr>
              <w:wordWrap w:val="0"/>
              <w:spacing w:line="360" w:lineRule="exact"/>
              <w:jc w:val="center"/>
              <w:rPr>
                <w:rFonts w:ascii="仿宋_GB2312" w:hAnsi="仿宋_GB2312" w:eastAsia="仿宋_GB2312" w:cs="仿宋_GB2312"/>
                <w:color w:val="000000" w:themeColor="text1"/>
                <w:sz w:val="22"/>
                <w:szCs w:val="22"/>
              </w:rPr>
            </w:pPr>
          </w:p>
        </w:tc>
        <w:tc>
          <w:tcPr>
            <w:tcW w:w="1146" w:type="dxa"/>
            <w:vMerge w:val="restart"/>
            <w:noWrap/>
            <w:vAlign w:val="center"/>
          </w:tcPr>
          <w:p w14:paraId="6389326A">
            <w:pPr>
              <w:wordWrap w:val="0"/>
              <w:spacing w:line="360" w:lineRule="exact"/>
              <w:jc w:val="center"/>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巡展场地</w:t>
            </w:r>
          </w:p>
        </w:tc>
        <w:tc>
          <w:tcPr>
            <w:tcW w:w="6828" w:type="dxa"/>
            <w:noWrap/>
            <w:vAlign w:val="center"/>
          </w:tcPr>
          <w:p w14:paraId="0A50DBDC">
            <w:pPr>
              <w:wordWrap w:val="0"/>
              <w:spacing w:line="360" w:lineRule="exact"/>
              <w:rPr>
                <w:rFonts w:ascii="仿宋_GB2312" w:hAnsi="仿宋_GB2312" w:eastAsia="仿宋_GB2312" w:cs="仿宋_GB2312"/>
                <w:color w:val="000000" w:themeColor="text1"/>
                <w:kern w:val="0"/>
                <w:sz w:val="22"/>
                <w:szCs w:val="22"/>
              </w:rPr>
            </w:pPr>
            <w:r>
              <w:rPr>
                <w:rFonts w:hint="eastAsia" w:ascii="仿宋_GB2312" w:hAnsi="仿宋_GB2312" w:eastAsia="仿宋_GB2312" w:cs="仿宋_GB2312"/>
                <w:color w:val="000000" w:themeColor="text1"/>
                <w:sz w:val="22"/>
                <w:szCs w:val="22"/>
              </w:rPr>
              <w:t>巡展场地专馆专用</w:t>
            </w:r>
          </w:p>
        </w:tc>
      </w:tr>
      <w:tr w14:paraId="10E9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Merge w:val="continue"/>
            <w:noWrap/>
            <w:vAlign w:val="center"/>
          </w:tcPr>
          <w:p w14:paraId="70709A1B">
            <w:pPr>
              <w:wordWrap w:val="0"/>
              <w:spacing w:line="360" w:lineRule="exact"/>
              <w:jc w:val="center"/>
              <w:rPr>
                <w:rFonts w:ascii="仿宋_GB2312" w:hAnsi="仿宋_GB2312" w:eastAsia="仿宋_GB2312" w:cs="仿宋_GB2312"/>
                <w:color w:val="000000" w:themeColor="text1"/>
                <w:sz w:val="22"/>
                <w:szCs w:val="22"/>
              </w:rPr>
            </w:pPr>
          </w:p>
        </w:tc>
        <w:tc>
          <w:tcPr>
            <w:tcW w:w="1146" w:type="dxa"/>
            <w:vMerge w:val="continue"/>
            <w:noWrap/>
            <w:vAlign w:val="center"/>
          </w:tcPr>
          <w:p w14:paraId="79F8F000">
            <w:pPr>
              <w:wordWrap w:val="0"/>
              <w:spacing w:line="360" w:lineRule="exact"/>
              <w:jc w:val="center"/>
              <w:rPr>
                <w:rFonts w:ascii="仿宋_GB2312" w:hAnsi="仿宋_GB2312" w:eastAsia="仿宋_GB2312" w:cs="仿宋_GB2312"/>
                <w:color w:val="000000" w:themeColor="text1"/>
                <w:sz w:val="22"/>
                <w:szCs w:val="22"/>
              </w:rPr>
            </w:pPr>
          </w:p>
        </w:tc>
        <w:tc>
          <w:tcPr>
            <w:tcW w:w="6828" w:type="dxa"/>
            <w:noWrap/>
            <w:vAlign w:val="center"/>
          </w:tcPr>
          <w:p w14:paraId="1CB03B6C">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场馆面积保障项目运行效果。</w:t>
            </w:r>
          </w:p>
        </w:tc>
      </w:tr>
      <w:tr w14:paraId="3972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Merge w:val="restart"/>
            <w:noWrap/>
            <w:vAlign w:val="center"/>
          </w:tcPr>
          <w:p w14:paraId="75FD6407">
            <w:pPr>
              <w:wordWrap w:val="0"/>
              <w:spacing w:line="360" w:lineRule="exact"/>
              <w:jc w:val="center"/>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组织实施</w:t>
            </w:r>
          </w:p>
          <w:p w14:paraId="7E006D9F">
            <w:pPr>
              <w:wordWrap w:val="0"/>
              <w:spacing w:line="360" w:lineRule="exact"/>
              <w:jc w:val="center"/>
              <w:rPr>
                <w:rFonts w:ascii="仿宋_GB2312" w:hAnsi="仿宋_GB2312" w:eastAsia="仿宋_GB2312" w:cs="仿宋_GB2312"/>
                <w:color w:val="000000" w:themeColor="text1"/>
                <w:sz w:val="22"/>
                <w:szCs w:val="22"/>
              </w:rPr>
            </w:pPr>
          </w:p>
        </w:tc>
        <w:tc>
          <w:tcPr>
            <w:tcW w:w="1146" w:type="dxa"/>
            <w:vMerge w:val="restart"/>
            <w:noWrap/>
            <w:vAlign w:val="center"/>
          </w:tcPr>
          <w:p w14:paraId="486890F8">
            <w:pPr>
              <w:wordWrap w:val="0"/>
              <w:spacing w:line="360" w:lineRule="exact"/>
              <w:jc w:val="center"/>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巡展任务指标</w:t>
            </w:r>
          </w:p>
        </w:tc>
        <w:tc>
          <w:tcPr>
            <w:tcW w:w="6828" w:type="dxa"/>
            <w:noWrap/>
            <w:vAlign w:val="center"/>
          </w:tcPr>
          <w:p w14:paraId="616E937D">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巡展时间。</w:t>
            </w:r>
          </w:p>
          <w:p w14:paraId="66A0DCB6">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kern w:val="0"/>
                <w:sz w:val="22"/>
                <w:szCs w:val="22"/>
              </w:rPr>
              <w:t>每站展出时间上不少于2个月</w:t>
            </w:r>
          </w:p>
        </w:tc>
      </w:tr>
      <w:tr w14:paraId="7EDA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Merge w:val="continue"/>
            <w:noWrap/>
            <w:vAlign w:val="center"/>
          </w:tcPr>
          <w:p w14:paraId="62ADAF64">
            <w:pPr>
              <w:wordWrap w:val="0"/>
              <w:spacing w:line="360" w:lineRule="exact"/>
              <w:jc w:val="center"/>
              <w:rPr>
                <w:rFonts w:ascii="仿宋_GB2312" w:hAnsi="仿宋_GB2312" w:eastAsia="仿宋_GB2312" w:cs="仿宋_GB2312"/>
                <w:color w:val="000000" w:themeColor="text1"/>
                <w:sz w:val="22"/>
                <w:szCs w:val="22"/>
              </w:rPr>
            </w:pPr>
          </w:p>
        </w:tc>
        <w:tc>
          <w:tcPr>
            <w:tcW w:w="1146" w:type="dxa"/>
            <w:vMerge w:val="continue"/>
            <w:noWrap/>
            <w:vAlign w:val="center"/>
          </w:tcPr>
          <w:p w14:paraId="6FBC3762">
            <w:pPr>
              <w:wordWrap w:val="0"/>
              <w:spacing w:line="360" w:lineRule="exact"/>
              <w:jc w:val="center"/>
              <w:rPr>
                <w:rFonts w:ascii="仿宋_GB2312" w:hAnsi="仿宋_GB2312" w:eastAsia="仿宋_GB2312" w:cs="仿宋_GB2312"/>
                <w:color w:val="000000" w:themeColor="text1"/>
                <w:sz w:val="22"/>
                <w:szCs w:val="22"/>
              </w:rPr>
            </w:pPr>
          </w:p>
        </w:tc>
        <w:tc>
          <w:tcPr>
            <w:tcW w:w="6828" w:type="dxa"/>
            <w:noWrap/>
            <w:vAlign w:val="center"/>
          </w:tcPr>
          <w:p w14:paraId="46A7C4D3">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服务公众人次。</w:t>
            </w:r>
          </w:p>
          <w:p w14:paraId="29FDF170">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各巡展站点巡展期间服务公众人次</w:t>
            </w:r>
            <w:r>
              <w:rPr>
                <w:rFonts w:hint="eastAsia" w:ascii="仿宋_GB2312" w:hAnsi="仿宋_GB2312" w:eastAsia="仿宋_GB2312" w:cs="仿宋_GB2312"/>
                <w:color w:val="000000" w:themeColor="text1"/>
                <w:kern w:val="0"/>
                <w:sz w:val="22"/>
                <w:szCs w:val="22"/>
              </w:rPr>
              <w:t>不少于3万人次。</w:t>
            </w:r>
          </w:p>
        </w:tc>
      </w:tr>
      <w:tr w14:paraId="58EC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Merge w:val="continue"/>
            <w:noWrap/>
            <w:vAlign w:val="center"/>
          </w:tcPr>
          <w:p w14:paraId="3DD3CD0C">
            <w:pPr>
              <w:wordWrap w:val="0"/>
              <w:spacing w:line="360" w:lineRule="exact"/>
              <w:jc w:val="center"/>
              <w:rPr>
                <w:rFonts w:ascii="仿宋_GB2312" w:hAnsi="仿宋_GB2312" w:eastAsia="仿宋_GB2312" w:cs="仿宋_GB2312"/>
                <w:color w:val="000000" w:themeColor="text1"/>
                <w:sz w:val="22"/>
                <w:szCs w:val="22"/>
              </w:rPr>
            </w:pPr>
          </w:p>
        </w:tc>
        <w:tc>
          <w:tcPr>
            <w:tcW w:w="1146" w:type="dxa"/>
            <w:vMerge w:val="continue"/>
            <w:noWrap/>
            <w:vAlign w:val="center"/>
          </w:tcPr>
          <w:p w14:paraId="2B9973DD">
            <w:pPr>
              <w:wordWrap w:val="0"/>
              <w:spacing w:line="360" w:lineRule="exact"/>
              <w:jc w:val="center"/>
              <w:rPr>
                <w:rFonts w:ascii="仿宋_GB2312" w:hAnsi="仿宋_GB2312" w:eastAsia="仿宋_GB2312" w:cs="仿宋_GB2312"/>
                <w:color w:val="000000" w:themeColor="text1"/>
                <w:sz w:val="22"/>
                <w:szCs w:val="22"/>
              </w:rPr>
            </w:pPr>
          </w:p>
        </w:tc>
        <w:tc>
          <w:tcPr>
            <w:tcW w:w="6828" w:type="dxa"/>
            <w:noWrap/>
            <w:vAlign w:val="center"/>
          </w:tcPr>
          <w:p w14:paraId="35B2FCC6">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kern w:val="0"/>
                <w:sz w:val="22"/>
                <w:szCs w:val="22"/>
              </w:rPr>
              <w:t>展品完好率。各巡展站点巡展期间，展品完好率不小于90%。</w:t>
            </w:r>
          </w:p>
        </w:tc>
      </w:tr>
      <w:tr w14:paraId="05D1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Merge w:val="continue"/>
            <w:noWrap/>
            <w:vAlign w:val="center"/>
          </w:tcPr>
          <w:p w14:paraId="76906C56">
            <w:pPr>
              <w:wordWrap w:val="0"/>
              <w:spacing w:line="360" w:lineRule="exact"/>
              <w:jc w:val="center"/>
              <w:rPr>
                <w:rFonts w:ascii="仿宋_GB2312" w:hAnsi="仿宋_GB2312" w:eastAsia="仿宋_GB2312" w:cs="仿宋_GB2312"/>
                <w:color w:val="000000" w:themeColor="text1"/>
                <w:sz w:val="22"/>
                <w:szCs w:val="22"/>
              </w:rPr>
            </w:pPr>
          </w:p>
        </w:tc>
        <w:tc>
          <w:tcPr>
            <w:tcW w:w="1146" w:type="dxa"/>
            <w:vMerge w:val="restart"/>
            <w:noWrap/>
            <w:vAlign w:val="center"/>
          </w:tcPr>
          <w:p w14:paraId="7AC224A0">
            <w:pPr>
              <w:wordWrap w:val="0"/>
              <w:spacing w:line="360" w:lineRule="exact"/>
              <w:jc w:val="center"/>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教育活动实施</w:t>
            </w:r>
          </w:p>
        </w:tc>
        <w:tc>
          <w:tcPr>
            <w:tcW w:w="6828" w:type="dxa"/>
            <w:noWrap/>
            <w:vAlign w:val="center"/>
          </w:tcPr>
          <w:p w14:paraId="5CA1735B">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常规活动。</w:t>
            </w:r>
          </w:p>
          <w:p w14:paraId="156DF1B0">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kern w:val="0"/>
                <w:sz w:val="22"/>
                <w:szCs w:val="22"/>
              </w:rPr>
              <w:t>结合展览每天开展常规展教辅导活动、科学实验表演活 动、线上科普教育活动等，活动形式多样有趣，内容丰富新颖，效果突出，公众反响热烈。</w:t>
            </w:r>
          </w:p>
        </w:tc>
      </w:tr>
      <w:tr w14:paraId="2ED4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Merge w:val="continue"/>
            <w:noWrap/>
            <w:vAlign w:val="center"/>
          </w:tcPr>
          <w:p w14:paraId="4A1DCECB">
            <w:pPr>
              <w:wordWrap w:val="0"/>
              <w:spacing w:line="360" w:lineRule="exact"/>
              <w:jc w:val="center"/>
              <w:rPr>
                <w:rFonts w:ascii="仿宋_GB2312" w:hAnsi="仿宋_GB2312" w:eastAsia="仿宋_GB2312" w:cs="仿宋_GB2312"/>
                <w:color w:val="000000" w:themeColor="text1"/>
                <w:sz w:val="22"/>
                <w:szCs w:val="22"/>
              </w:rPr>
            </w:pPr>
          </w:p>
        </w:tc>
        <w:tc>
          <w:tcPr>
            <w:tcW w:w="1146" w:type="dxa"/>
            <w:vMerge w:val="continue"/>
            <w:noWrap/>
            <w:vAlign w:val="center"/>
          </w:tcPr>
          <w:p w14:paraId="7F329354">
            <w:pPr>
              <w:wordWrap w:val="0"/>
              <w:spacing w:line="360" w:lineRule="exact"/>
              <w:jc w:val="center"/>
              <w:rPr>
                <w:rFonts w:ascii="仿宋_GB2312" w:hAnsi="仿宋_GB2312" w:eastAsia="仿宋_GB2312" w:cs="仿宋_GB2312"/>
                <w:color w:val="000000" w:themeColor="text1"/>
                <w:sz w:val="22"/>
                <w:szCs w:val="22"/>
              </w:rPr>
            </w:pPr>
          </w:p>
        </w:tc>
        <w:tc>
          <w:tcPr>
            <w:tcW w:w="6828" w:type="dxa"/>
            <w:noWrap/>
            <w:vAlign w:val="center"/>
          </w:tcPr>
          <w:p w14:paraId="553102E7">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馆校活动。</w:t>
            </w:r>
          </w:p>
          <w:p w14:paraId="5BABEA0A">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kern w:val="0"/>
                <w:sz w:val="22"/>
                <w:szCs w:val="22"/>
              </w:rPr>
              <w:t>积极联络地方教育部门、中小学校，探索建立馆校合作长效机制，充分利用流动科普资源优势面向学校开展服务，以资源进校和学生进馆的“双进”方式，助力推进“双减”工作。应为当地90%的中小学提供科学教育服务。</w:t>
            </w:r>
          </w:p>
        </w:tc>
      </w:tr>
      <w:tr w14:paraId="3668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Merge w:val="continue"/>
            <w:noWrap/>
            <w:vAlign w:val="center"/>
          </w:tcPr>
          <w:p w14:paraId="44A2A3A5">
            <w:pPr>
              <w:wordWrap w:val="0"/>
              <w:spacing w:line="360" w:lineRule="exact"/>
              <w:jc w:val="center"/>
              <w:rPr>
                <w:rFonts w:ascii="仿宋_GB2312" w:hAnsi="仿宋_GB2312" w:eastAsia="仿宋_GB2312" w:cs="仿宋_GB2312"/>
                <w:color w:val="000000" w:themeColor="text1"/>
                <w:sz w:val="22"/>
                <w:szCs w:val="22"/>
              </w:rPr>
            </w:pPr>
          </w:p>
        </w:tc>
        <w:tc>
          <w:tcPr>
            <w:tcW w:w="1146" w:type="dxa"/>
            <w:vMerge w:val="continue"/>
            <w:noWrap/>
            <w:vAlign w:val="center"/>
          </w:tcPr>
          <w:p w14:paraId="5DD38AA0">
            <w:pPr>
              <w:wordWrap w:val="0"/>
              <w:spacing w:line="360" w:lineRule="exact"/>
              <w:jc w:val="center"/>
              <w:rPr>
                <w:rFonts w:ascii="仿宋_GB2312" w:hAnsi="仿宋_GB2312" w:eastAsia="仿宋_GB2312" w:cs="仿宋_GB2312"/>
                <w:color w:val="000000" w:themeColor="text1"/>
                <w:sz w:val="22"/>
                <w:szCs w:val="22"/>
              </w:rPr>
            </w:pPr>
          </w:p>
        </w:tc>
        <w:tc>
          <w:tcPr>
            <w:tcW w:w="6828" w:type="dxa"/>
            <w:noWrap/>
            <w:vAlign w:val="center"/>
          </w:tcPr>
          <w:p w14:paraId="406F5E4E">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特色活动。</w:t>
            </w:r>
          </w:p>
          <w:p w14:paraId="4F46DCCD">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kern w:val="0"/>
                <w:sz w:val="22"/>
                <w:szCs w:val="22"/>
              </w:rPr>
              <w:t>结合社会热点，联合当地科技、文化等部门，自主开发、联合实施特色教育活动，彰显科学家精神，突显价值引领。每个站点至少开展1次特色活动。</w:t>
            </w:r>
          </w:p>
        </w:tc>
      </w:tr>
      <w:tr w14:paraId="69A8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Merge w:val="continue"/>
            <w:noWrap/>
            <w:vAlign w:val="center"/>
          </w:tcPr>
          <w:p w14:paraId="33386B63">
            <w:pPr>
              <w:wordWrap w:val="0"/>
              <w:spacing w:line="360" w:lineRule="exact"/>
              <w:jc w:val="center"/>
              <w:rPr>
                <w:rFonts w:ascii="仿宋_GB2312" w:hAnsi="仿宋_GB2312" w:eastAsia="仿宋_GB2312" w:cs="仿宋_GB2312"/>
                <w:color w:val="000000" w:themeColor="text1"/>
                <w:sz w:val="22"/>
                <w:szCs w:val="22"/>
              </w:rPr>
            </w:pPr>
          </w:p>
        </w:tc>
        <w:tc>
          <w:tcPr>
            <w:tcW w:w="1146" w:type="dxa"/>
            <w:vMerge w:val="restart"/>
            <w:noWrap/>
            <w:vAlign w:val="center"/>
          </w:tcPr>
          <w:p w14:paraId="76624501">
            <w:pPr>
              <w:wordWrap w:val="0"/>
              <w:spacing w:line="360" w:lineRule="exact"/>
              <w:jc w:val="center"/>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运行保障</w:t>
            </w:r>
          </w:p>
        </w:tc>
        <w:tc>
          <w:tcPr>
            <w:tcW w:w="6828" w:type="dxa"/>
            <w:noWrap/>
            <w:vAlign w:val="center"/>
          </w:tcPr>
          <w:p w14:paraId="137F2B18">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观众组织。</w:t>
            </w:r>
          </w:p>
          <w:p w14:paraId="47754FD6">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kern w:val="0"/>
                <w:sz w:val="22"/>
                <w:szCs w:val="22"/>
              </w:rPr>
              <w:t>各巡展站点应积极争取当地政府部门的支持，组织当地青少年、党政机关工作人员、城镇居民等群体广泛参与。观众组织方案切实有效，措施科学合理；观众组织政策保障有力，覆盖《全民科学素质行动规划纲要2021—2035年）》的各重点人群。</w:t>
            </w:r>
          </w:p>
        </w:tc>
      </w:tr>
      <w:tr w14:paraId="41DF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Merge w:val="continue"/>
            <w:noWrap/>
            <w:vAlign w:val="center"/>
          </w:tcPr>
          <w:p w14:paraId="431C7BBE">
            <w:pPr>
              <w:wordWrap w:val="0"/>
              <w:spacing w:line="360" w:lineRule="exact"/>
              <w:jc w:val="center"/>
              <w:rPr>
                <w:rFonts w:ascii="仿宋_GB2312" w:hAnsi="仿宋_GB2312" w:eastAsia="仿宋_GB2312" w:cs="仿宋_GB2312"/>
                <w:color w:val="000000" w:themeColor="text1"/>
                <w:sz w:val="22"/>
                <w:szCs w:val="22"/>
              </w:rPr>
            </w:pPr>
          </w:p>
        </w:tc>
        <w:tc>
          <w:tcPr>
            <w:tcW w:w="1146" w:type="dxa"/>
            <w:vMerge w:val="continue"/>
            <w:noWrap/>
            <w:vAlign w:val="center"/>
          </w:tcPr>
          <w:p w14:paraId="07C38AD8">
            <w:pPr>
              <w:wordWrap w:val="0"/>
              <w:spacing w:line="360" w:lineRule="exact"/>
              <w:jc w:val="center"/>
              <w:rPr>
                <w:rFonts w:ascii="仿宋_GB2312" w:hAnsi="仿宋_GB2312" w:eastAsia="仿宋_GB2312" w:cs="仿宋_GB2312"/>
                <w:color w:val="000000" w:themeColor="text1"/>
                <w:sz w:val="22"/>
                <w:szCs w:val="22"/>
              </w:rPr>
            </w:pPr>
          </w:p>
        </w:tc>
        <w:tc>
          <w:tcPr>
            <w:tcW w:w="6828" w:type="dxa"/>
            <w:noWrap/>
            <w:vAlign w:val="center"/>
          </w:tcPr>
          <w:p w14:paraId="3AA2E3BB">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安全保障。</w:t>
            </w:r>
          </w:p>
          <w:p w14:paraId="022C8104">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各站点巡展期间有完整的展览工作日志，巡展、活动无安全事故。</w:t>
            </w:r>
          </w:p>
        </w:tc>
      </w:tr>
      <w:tr w14:paraId="15AC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Merge w:val="continue"/>
            <w:noWrap/>
            <w:vAlign w:val="center"/>
          </w:tcPr>
          <w:p w14:paraId="0405D922">
            <w:pPr>
              <w:wordWrap w:val="0"/>
              <w:spacing w:line="360" w:lineRule="exact"/>
              <w:jc w:val="center"/>
              <w:rPr>
                <w:rFonts w:ascii="仿宋_GB2312" w:hAnsi="仿宋_GB2312" w:eastAsia="仿宋_GB2312" w:cs="仿宋_GB2312"/>
                <w:color w:val="000000" w:themeColor="text1"/>
                <w:sz w:val="22"/>
                <w:szCs w:val="22"/>
              </w:rPr>
            </w:pPr>
          </w:p>
        </w:tc>
        <w:tc>
          <w:tcPr>
            <w:tcW w:w="1146" w:type="dxa"/>
            <w:vMerge w:val="continue"/>
            <w:noWrap/>
            <w:vAlign w:val="center"/>
          </w:tcPr>
          <w:p w14:paraId="4D433901">
            <w:pPr>
              <w:wordWrap w:val="0"/>
              <w:spacing w:line="360" w:lineRule="exact"/>
              <w:jc w:val="center"/>
              <w:rPr>
                <w:rFonts w:ascii="仿宋_GB2312" w:hAnsi="仿宋_GB2312" w:eastAsia="仿宋_GB2312" w:cs="仿宋_GB2312"/>
                <w:color w:val="000000" w:themeColor="text1"/>
                <w:sz w:val="22"/>
                <w:szCs w:val="22"/>
              </w:rPr>
            </w:pPr>
          </w:p>
        </w:tc>
        <w:tc>
          <w:tcPr>
            <w:tcW w:w="6828" w:type="dxa"/>
            <w:noWrap/>
            <w:vAlign w:val="center"/>
          </w:tcPr>
          <w:p w14:paraId="46CFAAED">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巡展计划及总结。</w:t>
            </w:r>
          </w:p>
          <w:p w14:paraId="751E7F07">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kern w:val="0"/>
                <w:sz w:val="22"/>
                <w:szCs w:val="22"/>
              </w:rPr>
              <w:t>各站点应制定详细的巡展计划，巡展计划科学合理且执行到位；注重经验总结，提交本站点流动馆项目总结汇编材料（含视频材料），全面项目实施情况和效果。</w:t>
            </w:r>
          </w:p>
        </w:tc>
      </w:tr>
      <w:tr w14:paraId="3C6C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Merge w:val="restart"/>
            <w:noWrap/>
            <w:vAlign w:val="center"/>
          </w:tcPr>
          <w:p w14:paraId="52F34BC5">
            <w:pPr>
              <w:wordWrap w:val="0"/>
              <w:spacing w:line="360" w:lineRule="exact"/>
              <w:jc w:val="center"/>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运行效果</w:t>
            </w:r>
          </w:p>
        </w:tc>
        <w:tc>
          <w:tcPr>
            <w:tcW w:w="1146" w:type="dxa"/>
            <w:noWrap/>
            <w:vAlign w:val="center"/>
          </w:tcPr>
          <w:p w14:paraId="2814BDF8">
            <w:pPr>
              <w:wordWrap w:val="0"/>
              <w:spacing w:line="360" w:lineRule="exact"/>
              <w:jc w:val="center"/>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公众评价</w:t>
            </w:r>
          </w:p>
        </w:tc>
        <w:tc>
          <w:tcPr>
            <w:tcW w:w="6828" w:type="dxa"/>
            <w:noWrap/>
            <w:vAlign w:val="center"/>
          </w:tcPr>
          <w:p w14:paraId="154D0F23">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kern w:val="0"/>
                <w:sz w:val="22"/>
                <w:szCs w:val="22"/>
              </w:rPr>
              <w:t>对各巡展站点的巡展效果开展公众满意度调查，公众满意度调查平均每个站点有效调查问卷不少于100份，公众满意度不低于90%。</w:t>
            </w:r>
          </w:p>
        </w:tc>
      </w:tr>
      <w:tr w14:paraId="0575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Merge w:val="continue"/>
            <w:noWrap/>
            <w:vAlign w:val="center"/>
          </w:tcPr>
          <w:p w14:paraId="20FF7CA2">
            <w:pPr>
              <w:wordWrap w:val="0"/>
              <w:spacing w:line="360" w:lineRule="exact"/>
              <w:jc w:val="center"/>
              <w:rPr>
                <w:rFonts w:ascii="仿宋_GB2312" w:hAnsi="仿宋_GB2312" w:eastAsia="仿宋_GB2312" w:cs="仿宋_GB2312"/>
                <w:color w:val="000000" w:themeColor="text1"/>
                <w:sz w:val="22"/>
                <w:szCs w:val="22"/>
              </w:rPr>
            </w:pPr>
          </w:p>
        </w:tc>
        <w:tc>
          <w:tcPr>
            <w:tcW w:w="1146" w:type="dxa"/>
            <w:noWrap/>
            <w:vAlign w:val="center"/>
          </w:tcPr>
          <w:p w14:paraId="7B94EB22">
            <w:pPr>
              <w:wordWrap w:val="0"/>
              <w:spacing w:line="360" w:lineRule="exact"/>
              <w:jc w:val="center"/>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领导关注</w:t>
            </w:r>
          </w:p>
        </w:tc>
        <w:tc>
          <w:tcPr>
            <w:tcW w:w="6828" w:type="dxa"/>
            <w:noWrap/>
            <w:vAlign w:val="center"/>
          </w:tcPr>
          <w:p w14:paraId="013F75FB">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kern w:val="0"/>
                <w:sz w:val="22"/>
                <w:szCs w:val="22"/>
              </w:rPr>
              <w:t>积极邀请领导出席流动科技馆相关活动，或相关工作成果得到各级党政机关肯定性批示。</w:t>
            </w:r>
          </w:p>
        </w:tc>
      </w:tr>
      <w:tr w14:paraId="13B1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Merge w:val="continue"/>
            <w:noWrap/>
            <w:vAlign w:val="center"/>
          </w:tcPr>
          <w:p w14:paraId="567C4902">
            <w:pPr>
              <w:wordWrap w:val="0"/>
              <w:spacing w:line="360" w:lineRule="exact"/>
              <w:jc w:val="center"/>
              <w:rPr>
                <w:rFonts w:ascii="仿宋_GB2312" w:hAnsi="仿宋_GB2312" w:eastAsia="仿宋_GB2312" w:cs="仿宋_GB2312"/>
                <w:color w:val="000000" w:themeColor="text1"/>
                <w:sz w:val="22"/>
                <w:szCs w:val="22"/>
              </w:rPr>
            </w:pPr>
          </w:p>
        </w:tc>
        <w:tc>
          <w:tcPr>
            <w:tcW w:w="1146" w:type="dxa"/>
            <w:noWrap/>
            <w:vAlign w:val="center"/>
          </w:tcPr>
          <w:p w14:paraId="2FF0EAA3">
            <w:pPr>
              <w:wordWrap w:val="0"/>
              <w:spacing w:line="360" w:lineRule="exact"/>
              <w:jc w:val="center"/>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媒体关注</w:t>
            </w:r>
          </w:p>
        </w:tc>
        <w:tc>
          <w:tcPr>
            <w:tcW w:w="6828" w:type="dxa"/>
            <w:noWrap/>
            <w:vAlign w:val="center"/>
          </w:tcPr>
          <w:p w14:paraId="77FED050">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kern w:val="0"/>
                <w:sz w:val="22"/>
                <w:szCs w:val="22"/>
              </w:rPr>
              <w:t>结合流动科技馆重要工作内容或重点活动，邀请各级官方媒体或主流媒体平台对流动科技馆相关工作开展宣传报道。</w:t>
            </w:r>
          </w:p>
        </w:tc>
      </w:tr>
      <w:tr w14:paraId="30E5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Merge w:val="continue"/>
            <w:noWrap/>
            <w:vAlign w:val="center"/>
          </w:tcPr>
          <w:p w14:paraId="60BC947C">
            <w:pPr>
              <w:wordWrap w:val="0"/>
              <w:spacing w:line="360" w:lineRule="exact"/>
              <w:jc w:val="center"/>
              <w:rPr>
                <w:rFonts w:ascii="仿宋_GB2312" w:hAnsi="仿宋_GB2312" w:eastAsia="仿宋_GB2312" w:cs="仿宋_GB2312"/>
                <w:color w:val="000000" w:themeColor="text1"/>
                <w:sz w:val="22"/>
                <w:szCs w:val="22"/>
              </w:rPr>
            </w:pPr>
          </w:p>
        </w:tc>
        <w:tc>
          <w:tcPr>
            <w:tcW w:w="1146" w:type="dxa"/>
            <w:noWrap/>
            <w:vAlign w:val="center"/>
          </w:tcPr>
          <w:p w14:paraId="65C0DF0A">
            <w:pPr>
              <w:wordWrap w:val="0"/>
              <w:spacing w:line="360" w:lineRule="exact"/>
              <w:jc w:val="center"/>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社会影响</w:t>
            </w:r>
          </w:p>
        </w:tc>
        <w:tc>
          <w:tcPr>
            <w:tcW w:w="6828" w:type="dxa"/>
            <w:noWrap/>
            <w:vAlign w:val="center"/>
          </w:tcPr>
          <w:p w14:paraId="409D5335">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kern w:val="0"/>
                <w:sz w:val="22"/>
                <w:szCs w:val="22"/>
              </w:rPr>
              <w:t>积极利用流动科技馆参与全国科普日、科技周等专项工作或当地特色专项活动，引起社会广泛关注。</w:t>
            </w:r>
          </w:p>
        </w:tc>
      </w:tr>
      <w:tr w14:paraId="29AE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Merge w:val="restart"/>
            <w:noWrap/>
            <w:vAlign w:val="center"/>
          </w:tcPr>
          <w:p w14:paraId="28442D27">
            <w:pPr>
              <w:wordWrap w:val="0"/>
              <w:spacing w:line="360" w:lineRule="exact"/>
              <w:jc w:val="center"/>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创新亮点</w:t>
            </w:r>
          </w:p>
        </w:tc>
        <w:tc>
          <w:tcPr>
            <w:tcW w:w="1146" w:type="dxa"/>
            <w:noWrap/>
            <w:vAlign w:val="center"/>
          </w:tcPr>
          <w:p w14:paraId="1CD0EE60">
            <w:pPr>
              <w:wordWrap w:val="0"/>
              <w:spacing w:line="360" w:lineRule="exact"/>
              <w:jc w:val="center"/>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政策支持</w:t>
            </w:r>
          </w:p>
        </w:tc>
        <w:tc>
          <w:tcPr>
            <w:tcW w:w="6828" w:type="dxa"/>
            <w:noWrap/>
            <w:vAlign w:val="center"/>
          </w:tcPr>
          <w:p w14:paraId="63591B2E">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kern w:val="0"/>
                <w:sz w:val="22"/>
                <w:szCs w:val="22"/>
              </w:rPr>
              <w:t>积极向属地党政机关宣传推广中国流动科技馆项目，召开常委会协调，并有会议纪要及相关文件，推动项目纳入属地各级、各类政务考核。</w:t>
            </w:r>
          </w:p>
        </w:tc>
      </w:tr>
      <w:tr w14:paraId="5310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Merge w:val="continue"/>
            <w:noWrap/>
            <w:vAlign w:val="center"/>
          </w:tcPr>
          <w:p w14:paraId="35FCECB5">
            <w:pPr>
              <w:wordWrap w:val="0"/>
              <w:spacing w:line="360" w:lineRule="exact"/>
              <w:jc w:val="center"/>
              <w:rPr>
                <w:rFonts w:ascii="仿宋_GB2312" w:hAnsi="仿宋_GB2312" w:eastAsia="仿宋_GB2312" w:cs="仿宋_GB2312"/>
                <w:color w:val="000000" w:themeColor="text1"/>
                <w:sz w:val="22"/>
                <w:szCs w:val="22"/>
              </w:rPr>
            </w:pPr>
          </w:p>
        </w:tc>
        <w:tc>
          <w:tcPr>
            <w:tcW w:w="1146" w:type="dxa"/>
            <w:noWrap/>
            <w:vAlign w:val="center"/>
          </w:tcPr>
          <w:p w14:paraId="05571E1F">
            <w:pPr>
              <w:wordWrap w:val="0"/>
              <w:spacing w:line="360" w:lineRule="exact"/>
              <w:jc w:val="center"/>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共建共享</w:t>
            </w:r>
          </w:p>
        </w:tc>
        <w:tc>
          <w:tcPr>
            <w:tcW w:w="6828" w:type="dxa"/>
            <w:noWrap/>
            <w:vAlign w:val="center"/>
          </w:tcPr>
          <w:p w14:paraId="249E5BD2">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kern w:val="0"/>
                <w:sz w:val="22"/>
                <w:szCs w:val="22"/>
              </w:rPr>
              <w:t>积极探索创新中国流动科技馆项目运行管理模式、工作机制，积极引入社会资源，利用社会资金、技术、场地等各类资源开展活动。</w:t>
            </w:r>
          </w:p>
        </w:tc>
      </w:tr>
      <w:tr w14:paraId="00FB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Merge w:val="continue"/>
            <w:noWrap/>
            <w:vAlign w:val="center"/>
          </w:tcPr>
          <w:p w14:paraId="50F16593">
            <w:pPr>
              <w:wordWrap w:val="0"/>
              <w:spacing w:line="360" w:lineRule="exact"/>
              <w:jc w:val="center"/>
              <w:rPr>
                <w:rFonts w:ascii="仿宋_GB2312" w:hAnsi="仿宋_GB2312" w:eastAsia="仿宋_GB2312" w:cs="仿宋_GB2312"/>
                <w:color w:val="000000" w:themeColor="text1"/>
                <w:sz w:val="22"/>
                <w:szCs w:val="22"/>
              </w:rPr>
            </w:pPr>
          </w:p>
        </w:tc>
        <w:tc>
          <w:tcPr>
            <w:tcW w:w="1146" w:type="dxa"/>
            <w:noWrap/>
            <w:vAlign w:val="center"/>
          </w:tcPr>
          <w:p w14:paraId="451A2A82">
            <w:pPr>
              <w:wordWrap w:val="0"/>
              <w:spacing w:line="360" w:lineRule="exact"/>
              <w:jc w:val="center"/>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重大任务</w:t>
            </w:r>
          </w:p>
        </w:tc>
        <w:tc>
          <w:tcPr>
            <w:tcW w:w="6828" w:type="dxa"/>
            <w:noWrap/>
            <w:vAlign w:val="center"/>
          </w:tcPr>
          <w:p w14:paraId="6C244B05">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kern w:val="0"/>
                <w:sz w:val="22"/>
                <w:szCs w:val="22"/>
              </w:rPr>
              <w:t>积极利用中国流动科技馆项目承担各项重大任务，如：社会</w:t>
            </w:r>
          </w:p>
          <w:p w14:paraId="4A396144">
            <w:pPr>
              <w:wordWrap w:val="0"/>
              <w:spacing w:line="360" w:lineRule="exact"/>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kern w:val="0"/>
                <w:sz w:val="22"/>
                <w:szCs w:val="22"/>
              </w:rPr>
              <w:t>化运行、跨界合作、全国工作会承办、联合行动等。</w:t>
            </w:r>
          </w:p>
        </w:tc>
      </w:tr>
    </w:tbl>
    <w:p w14:paraId="2F7CF14F">
      <w:pPr>
        <w:wordWrap w:val="0"/>
        <w:jc w:val="center"/>
        <w:rPr>
          <w:b/>
          <w:color w:val="000000" w:themeColor="text1"/>
          <w:sz w:val="24"/>
        </w:rPr>
      </w:pPr>
    </w:p>
    <w:p w14:paraId="4DEC9902">
      <w:pPr>
        <w:wordWrap w:val="0"/>
        <w:spacing w:line="560" w:lineRule="exact"/>
        <w:rPr>
          <w:rFonts w:ascii="仿宋_GB2312" w:hAnsi="仿宋_GB2312" w:eastAsia="仿宋_GB2312" w:cs="仿宋_GB2312"/>
          <w:color w:val="000000" w:themeColor="text1"/>
          <w:sz w:val="32"/>
          <w:szCs w:val="32"/>
        </w:rPr>
      </w:pPr>
    </w:p>
    <w:p w14:paraId="3BBCE28B">
      <w:pPr>
        <w:wordWrap w:val="0"/>
        <w:rPr>
          <w:color w:val="000000" w:themeColor="text1"/>
        </w:rPr>
      </w:pPr>
    </w:p>
    <w:sectPr>
      <w:footerReference r:id="rId3" w:type="default"/>
      <w:footerReference r:id="rId4" w:type="even"/>
      <w:pgSz w:w="11906" w:h="16838"/>
      <w:pgMar w:top="1984"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方正小标宋简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小标宋">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Nimbus Roman No9 L">
    <w:altName w:val="华文中宋"/>
    <w:panose1 w:val="00000000000000000000"/>
    <w:charset w:val="00"/>
    <w:family w:val="auto"/>
    <w:pitch w:val="default"/>
    <w:sig w:usb0="00000000" w:usb1="00000000" w:usb2="00000000" w:usb3="00000000" w:csb0="00040001" w:csb1="00000000"/>
  </w:font>
  <w:font w:name="PingFang-SC-Regular">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楷体_GB2312">
    <w:altName w:val="楷体_GB2312"/>
    <w:panose1 w:val="00000000000000000000"/>
    <w:charset w:val="86"/>
    <w:family w:val="auto"/>
    <w:pitch w:val="default"/>
    <w:sig w:usb0="00000000" w:usb1="00000000" w:usb2="00000012"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华文楷体">
    <w:panose1 w:val="02010600040101010101"/>
    <w:charset w:val="86"/>
    <w:family w:val="auto"/>
    <w:pitch w:val="default"/>
    <w:sig w:usb0="00000287" w:usb1="080F0000" w:usb2="00000000" w:usb3="00000000" w:csb0="0004009F" w:csb1="DFD70000"/>
  </w:font>
  <w:font w:name="东文宋体">
    <w:altName w:val="宋体"/>
    <w:panose1 w:val="00000000000000000000"/>
    <w:charset w:val="00"/>
    <w:family w:val="auto"/>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CESI楷体-GB2312">
    <w:altName w:val="楷体_GB2312"/>
    <w:panose1 w:val="00000000000000000000"/>
    <w:charset w:val="86"/>
    <w:family w:val="auto"/>
    <w:pitch w:val="default"/>
    <w:sig w:usb0="00000000" w:usb1="00000000" w:usb2="00000012" w:usb3="00000000" w:csb0="0004000F" w:csb1="00000000"/>
  </w:font>
  <w:font w:name="CESI黑体-GB2312">
    <w:altName w:val="黑体"/>
    <w:panose1 w:val="00000000000000000000"/>
    <w:charset w:val="86"/>
    <w:family w:val="auto"/>
    <w:pitch w:val="default"/>
    <w:sig w:usb0="00000000" w:usb1="00000000" w:usb2="00000012" w:usb3="00000000" w:csb0="0004000F" w:csb1="00000000"/>
  </w:font>
  <w:font w:na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08939"/>
      <w:docPartObj>
        <w:docPartGallery w:val="autotext"/>
      </w:docPartObj>
    </w:sdtPr>
    <w:sdtContent>
      <w:p w14:paraId="0C0E64D3">
        <w:pPr>
          <w:pStyle w:val="3"/>
          <w:jc w:val="right"/>
        </w:pPr>
        <w:r>
          <w:rPr>
            <w:rFonts w:hint="eastAsia" w:asciiTheme="majorEastAsia" w:hAnsiTheme="majorEastAsia" w:eastAsiaTheme="majorEastAsia"/>
            <w:sz w:val="28"/>
          </w:rPr>
          <w:t xml:space="preserve">— </w:t>
        </w:r>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3</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1CA9">
    <w:pPr>
      <w:pStyle w:val="3"/>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108</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F262D"/>
    <w:rsid w:val="00001CAC"/>
    <w:rsid w:val="00031508"/>
    <w:rsid w:val="000C36DF"/>
    <w:rsid w:val="000E6618"/>
    <w:rsid w:val="00186093"/>
    <w:rsid w:val="00191813"/>
    <w:rsid w:val="002164BE"/>
    <w:rsid w:val="00224174"/>
    <w:rsid w:val="00296393"/>
    <w:rsid w:val="0036353F"/>
    <w:rsid w:val="00371DF3"/>
    <w:rsid w:val="003B2884"/>
    <w:rsid w:val="00410CF0"/>
    <w:rsid w:val="00466429"/>
    <w:rsid w:val="00491492"/>
    <w:rsid w:val="00511870"/>
    <w:rsid w:val="005118E3"/>
    <w:rsid w:val="00547D3C"/>
    <w:rsid w:val="00665E1C"/>
    <w:rsid w:val="006958DA"/>
    <w:rsid w:val="0072051F"/>
    <w:rsid w:val="00725FA8"/>
    <w:rsid w:val="00867015"/>
    <w:rsid w:val="0086724C"/>
    <w:rsid w:val="008C031B"/>
    <w:rsid w:val="008C4040"/>
    <w:rsid w:val="008D48A9"/>
    <w:rsid w:val="008F48E5"/>
    <w:rsid w:val="009305A7"/>
    <w:rsid w:val="00960FA5"/>
    <w:rsid w:val="00985A1E"/>
    <w:rsid w:val="00990E3B"/>
    <w:rsid w:val="00994AAF"/>
    <w:rsid w:val="00AA65D0"/>
    <w:rsid w:val="00B22378"/>
    <w:rsid w:val="00B32734"/>
    <w:rsid w:val="00B35252"/>
    <w:rsid w:val="00B80A79"/>
    <w:rsid w:val="00B828AA"/>
    <w:rsid w:val="00BA2358"/>
    <w:rsid w:val="00BB1997"/>
    <w:rsid w:val="00BC5ED3"/>
    <w:rsid w:val="00BD23FB"/>
    <w:rsid w:val="00BD4F09"/>
    <w:rsid w:val="00BD5D2C"/>
    <w:rsid w:val="00C53AE2"/>
    <w:rsid w:val="00C60086"/>
    <w:rsid w:val="00C655F3"/>
    <w:rsid w:val="00CE129B"/>
    <w:rsid w:val="00D06E8A"/>
    <w:rsid w:val="00D20D4B"/>
    <w:rsid w:val="00F67530"/>
    <w:rsid w:val="00F85361"/>
    <w:rsid w:val="00FA4E87"/>
    <w:rsid w:val="07411200"/>
    <w:rsid w:val="0AE95411"/>
    <w:rsid w:val="0B856E92"/>
    <w:rsid w:val="10946DC2"/>
    <w:rsid w:val="13CF262D"/>
    <w:rsid w:val="1A69031C"/>
    <w:rsid w:val="2D8868B3"/>
    <w:rsid w:val="2E666F6E"/>
    <w:rsid w:val="36F6663C"/>
    <w:rsid w:val="3B341131"/>
    <w:rsid w:val="3B7B1805"/>
    <w:rsid w:val="41F559CB"/>
    <w:rsid w:val="445B2F0D"/>
    <w:rsid w:val="48240951"/>
    <w:rsid w:val="49F370C0"/>
    <w:rsid w:val="52621DD2"/>
    <w:rsid w:val="55214D74"/>
    <w:rsid w:val="57342B3C"/>
    <w:rsid w:val="5955699E"/>
    <w:rsid w:val="5D3D64C3"/>
    <w:rsid w:val="5FE8720C"/>
    <w:rsid w:val="629A5B42"/>
    <w:rsid w:val="65B5753E"/>
    <w:rsid w:val="69C35E51"/>
    <w:rsid w:val="700C06A3"/>
    <w:rsid w:val="71967069"/>
    <w:rsid w:val="72723E32"/>
    <w:rsid w:val="74E50E19"/>
    <w:rsid w:val="76341286"/>
    <w:rsid w:val="7C556F2D"/>
    <w:rsid w:val="7E141A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napToGrid w:val="0"/>
      <w:spacing w:line="579" w:lineRule="exact"/>
    </w:pPr>
    <w:rPr>
      <w:rFonts w:eastAsia="仿宋_GB2312"/>
      <w:sz w:val="32"/>
      <w:szCs w:val="20"/>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Body Text Indent"/>
    <w:basedOn w:val="1"/>
    <w:qFormat/>
    <w:uiPriority w:val="0"/>
    <w:pPr>
      <w:ind w:firstLine="555"/>
    </w:pPr>
    <w:rPr>
      <w:rFonts w:ascii="仿宋_GB2312" w:eastAsia="仿宋_GB2312"/>
      <w:sz w:val="32"/>
    </w:rPr>
  </w:style>
  <w:style w:type="paragraph" w:styleId="5">
    <w:name w:val="toc 5"/>
    <w:basedOn w:val="1"/>
    <w:next w:val="1"/>
    <w:qFormat/>
    <w:uiPriority w:val="0"/>
    <w:pPr>
      <w:ind w:left="1680" w:leftChars="800"/>
    </w:pPr>
    <w:rPr>
      <w:rFonts w:ascii="等线" w:hAnsi="等线" w:eastAsia="等线"/>
    </w:rPr>
  </w:style>
  <w:style w:type="paragraph" w:styleId="6">
    <w:name w:val="Plain Text"/>
    <w:basedOn w:val="1"/>
    <w:qFormat/>
    <w:uiPriority w:val="99"/>
    <w:rPr>
      <w:rFonts w:ascii="宋体" w:hAnsi="Courier New"/>
      <w:szCs w:val="20"/>
    </w:rPr>
  </w:style>
  <w:style w:type="paragraph" w:styleId="7">
    <w:name w:val="Balloon Text"/>
    <w:unhideWhenUsed/>
    <w:qFormat/>
    <w:uiPriority w:val="99"/>
    <w:pPr>
      <w:widowControl w:val="0"/>
      <w:jc w:val="both"/>
    </w:pPr>
    <w:rPr>
      <w:rFonts w:ascii="Times New Roman" w:hAnsi="Times New Roman" w:eastAsia="宋体" w:cs="Times New Roman"/>
      <w:kern w:val="2"/>
      <w:sz w:val="18"/>
      <w:szCs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2"/>
    <w:basedOn w:val="4"/>
    <w:qFormat/>
    <w:uiPriority w:val="0"/>
    <w:pPr>
      <w:spacing w:line="560" w:lineRule="exact"/>
      <w:ind w:firstLine="420" w:firstLineChars="200"/>
    </w:pPr>
    <w:rPr>
      <w:rFonts w:ascii="Calibri" w:cs="黑体"/>
      <w:sz w:val="28"/>
      <w:szCs w:val="22"/>
    </w:rPr>
  </w:style>
  <w:style w:type="table" w:styleId="12">
    <w:name w:val="Table Grid"/>
    <w:basedOn w:val="11"/>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正文文字"/>
    <w:basedOn w:val="1"/>
    <w:next w:val="1"/>
    <w:qFormat/>
    <w:uiPriority w:val="0"/>
    <w:pPr>
      <w:spacing w:after="120"/>
    </w:pPr>
    <w:rPr>
      <w:rFonts w:ascii="Times New Roman" w:hAnsi="Times New Roman"/>
    </w:rPr>
  </w:style>
  <w:style w:type="paragraph" w:styleId="15">
    <w:name w:val="List Paragraph"/>
    <w:basedOn w:val="1"/>
    <w:qFormat/>
    <w:uiPriority w:val="34"/>
    <w:pPr>
      <w:ind w:firstLine="420" w:firstLineChars="200"/>
    </w:pPr>
    <w:rPr>
      <w:rFonts w:ascii="Times New Roman" w:hAnsi="Times New Roman"/>
      <w:szCs w:val="20"/>
    </w:rPr>
  </w:style>
  <w:style w:type="character" w:customStyle="1" w:styleId="16">
    <w:name w:val="hei141"/>
    <w:qFormat/>
    <w:uiPriority w:val="0"/>
    <w:rPr>
      <w:rFonts w:hint="default" w:ascii="Times New Roman" w:hAnsi="Times New Roman" w:cs="Times New Roman"/>
      <w:sz w:val="21"/>
      <w:szCs w:val="21"/>
      <w:u w:val="none"/>
    </w:rPr>
  </w:style>
  <w:style w:type="character" w:customStyle="1" w:styleId="17">
    <w:name w:val="页脚 Char"/>
    <w:basedOn w:val="13"/>
    <w:link w:val="3"/>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保税区</Company>
  <Pages>4</Pages>
  <Words>1834</Words>
  <Characters>1969</Characters>
  <Lines>301</Lines>
  <Paragraphs>85</Paragraphs>
  <TotalTime>129</TotalTime>
  <ScaleCrop>false</ScaleCrop>
  <LinksUpToDate>false</LinksUpToDate>
  <CharactersWithSpaces>1989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2025-03-11T02:32:00Z</dcterms:created>
  <dc:creator>WPS_1687744451</dc:creator>
  <cp:lastModifiedBy>WPS_1687744451</cp:lastModifiedBy>
  <cp:lastPrinted>2025-03-20T08:17:00Z</cp:lastPrinted>
  <dcterms:modified xsi:type="dcterms:W3CDTF">2025-03-26T08:31:29Z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7AE0349020DB46AAB2DF7CCCD7520FCF_13</vt:lpwstr>
  </property>
  <property fmtid="{D5CDD505-2E9C-101B-9397-08002B2CF9AE}" pid="4" name="KSOTemplateDocerSaveRecord">
    <vt:lpwstr>eyJoZGlkIjoiOTQwN2YxNTM3NDgxYTc3MmY3YzY0YzFhNjJmNzgxMmYiLCJ1c2VySWQiOiIxNTA5MzMzODkxIn0=</vt:lpwstr>
  </property>
</Properties>
</file>